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C95" w:rsidRDefault="005D4C95" w:rsidP="00546261">
      <w:pPr>
        <w:spacing w:before="100" w:beforeAutospacing="1" w:after="100" w:afterAutospacing="1" w:line="240" w:lineRule="auto"/>
        <w:outlineLvl w:val="0"/>
        <w:rPr>
          <w:rFonts w:eastAsia="Times New Roman"/>
          <w:b/>
          <w:bCs/>
          <w:kern w:val="36"/>
        </w:rPr>
      </w:pPr>
      <w:r w:rsidRPr="005D4C95">
        <w:rPr>
          <w:rFonts w:eastAsia="Times New Roman"/>
          <w:b/>
          <w:bCs/>
          <w:kern w:val="36"/>
        </w:rPr>
        <w:t xml:space="preserve">TITLE: If Palestinians Are a People, Does That </w:t>
      </w:r>
      <w:r w:rsidR="00546261">
        <w:rPr>
          <w:rFonts w:eastAsia="Times New Roman"/>
          <w:b/>
          <w:bCs/>
          <w:kern w:val="36"/>
        </w:rPr>
        <w:t>Necessitate</w:t>
      </w:r>
      <w:r w:rsidRPr="005D4C95">
        <w:rPr>
          <w:rFonts w:eastAsia="Times New Roman"/>
          <w:b/>
          <w:bCs/>
          <w:kern w:val="36"/>
        </w:rPr>
        <w:t xml:space="preserve"> a State?</w:t>
      </w:r>
    </w:p>
    <w:p w:rsidR="005D4C95" w:rsidRPr="005D4C95" w:rsidRDefault="005D4C95" w:rsidP="00546261">
      <w:pPr>
        <w:spacing w:before="100" w:beforeAutospacing="1" w:after="100" w:afterAutospacing="1" w:line="240" w:lineRule="auto"/>
        <w:outlineLvl w:val="0"/>
        <w:rPr>
          <w:rFonts w:eastAsia="Times New Roman"/>
          <w:i/>
          <w:iCs/>
          <w:kern w:val="36"/>
        </w:rPr>
      </w:pPr>
      <w:r>
        <w:rPr>
          <w:rFonts w:eastAsia="Times New Roman"/>
          <w:i/>
          <w:iCs/>
          <w:kern w:val="36"/>
        </w:rPr>
        <w:t xml:space="preserve">SUBTITLE: </w:t>
      </w:r>
      <w:r w:rsidR="00546261">
        <w:rPr>
          <w:rFonts w:eastAsia="Times New Roman"/>
          <w:i/>
          <w:iCs/>
          <w:kern w:val="36"/>
        </w:rPr>
        <w:t>We can understand their aspirations for self-determination. In this, they are like so many other peoples.</w:t>
      </w:r>
    </w:p>
    <w:p w:rsidR="005D4C95" w:rsidRPr="005D4C95" w:rsidRDefault="005D4C95" w:rsidP="005D4C95">
      <w:pPr>
        <w:spacing w:before="100" w:beforeAutospacing="1" w:after="100" w:afterAutospacing="1" w:line="240" w:lineRule="auto"/>
        <w:rPr>
          <w:rFonts w:eastAsia="Times New Roman"/>
        </w:rPr>
      </w:pPr>
      <w:r w:rsidRPr="005D4C95">
        <w:rPr>
          <w:rFonts w:eastAsia="Times New Roman"/>
        </w:rPr>
        <w:t xml:space="preserve">In a </w:t>
      </w:r>
      <w:hyperlink r:id="rId5" w:history="1">
        <w:r w:rsidRPr="005D4C95">
          <w:rPr>
            <w:rStyle w:val="Hyperlink"/>
            <w:rFonts w:eastAsia="Times New Roman"/>
          </w:rPr>
          <w:t>recent article</w:t>
        </w:r>
      </w:hyperlink>
      <w:r w:rsidRPr="005D4C95">
        <w:rPr>
          <w:rFonts w:eastAsia="Times New Roman"/>
        </w:rPr>
        <w:t xml:space="preserve">, I argued that Yasser Arafat's </w:t>
      </w:r>
      <w:r>
        <w:rPr>
          <w:rFonts w:eastAsia="Times New Roman"/>
        </w:rPr>
        <w:t xml:space="preserve">Cairo </w:t>
      </w:r>
      <w:r w:rsidRPr="005D4C95">
        <w:rPr>
          <w:rFonts w:eastAsia="Times New Roman"/>
        </w:rPr>
        <w:t xml:space="preserve">birthplace </w:t>
      </w:r>
      <w:r>
        <w:rPr>
          <w:rFonts w:eastAsia="Times New Roman"/>
        </w:rPr>
        <w:t>does not disqualify him as a</w:t>
      </w:r>
      <w:r w:rsidRPr="005D4C95">
        <w:rPr>
          <w:rFonts w:eastAsia="Times New Roman"/>
        </w:rPr>
        <w:t xml:space="preserve"> Palestinian.</w:t>
      </w:r>
    </w:p>
    <w:p w:rsidR="005D4C95" w:rsidRPr="005D4C95" w:rsidRDefault="005D4C95" w:rsidP="005D4C95">
      <w:pPr>
        <w:spacing w:before="100" w:beforeAutospacing="1" w:after="100" w:afterAutospacing="1" w:line="240" w:lineRule="auto"/>
        <w:rPr>
          <w:rFonts w:eastAsia="Times New Roman"/>
        </w:rPr>
      </w:pPr>
      <w:r w:rsidRPr="005D4C95">
        <w:rPr>
          <w:rFonts w:eastAsia="Times New Roman"/>
        </w:rPr>
        <w:t xml:space="preserve">Many readers agreed that the </w:t>
      </w:r>
      <w:r>
        <w:t xml:space="preserve">“Arafat-was-born-in-Cairo-so-there-is-no-such-thing-as-Palestinians” </w:t>
      </w:r>
      <w:r w:rsidRPr="005D4C95">
        <w:rPr>
          <w:rFonts w:eastAsia="Times New Roman"/>
        </w:rPr>
        <w:t>argument is weak. But several immediately moved to a different question:</w:t>
      </w:r>
    </w:p>
    <w:p w:rsidR="005D4C95" w:rsidRPr="005D4C95" w:rsidRDefault="005D4C95" w:rsidP="005D4C95">
      <w:pPr>
        <w:spacing w:before="100" w:beforeAutospacing="1" w:after="100" w:afterAutospacing="1" w:line="240" w:lineRule="auto"/>
        <w:ind w:left="720"/>
        <w:rPr>
          <w:rFonts w:eastAsia="Times New Roman"/>
        </w:rPr>
      </w:pPr>
      <w:proofErr w:type="gramStart"/>
      <w:r w:rsidRPr="005D4C95">
        <w:rPr>
          <w:rFonts w:eastAsia="Times New Roman"/>
        </w:rPr>
        <w:t>"Fine.</w:t>
      </w:r>
      <w:proofErr w:type="gramEnd"/>
      <w:r w:rsidRPr="005D4C95">
        <w:rPr>
          <w:rFonts w:eastAsia="Times New Roman"/>
        </w:rPr>
        <w:t xml:space="preserve"> Suppose we accept that Palestinians are a people. Does that mean they are entitled to a state?"</w:t>
      </w:r>
    </w:p>
    <w:p w:rsidR="005D4C95" w:rsidRDefault="005D4C95" w:rsidP="00546261">
      <w:pPr>
        <w:spacing w:before="100" w:beforeAutospacing="1" w:after="100" w:afterAutospacing="1" w:line="240" w:lineRule="auto"/>
        <w:rPr>
          <w:rFonts w:eastAsia="Times New Roman"/>
        </w:rPr>
      </w:pPr>
      <w:r w:rsidRPr="005D4C95">
        <w:rPr>
          <w:rFonts w:eastAsia="Times New Roman"/>
        </w:rPr>
        <w:t>At first glance, the answer seems obvious. Many people assume that once the existence of a people is established, statehood naturally follows.</w:t>
      </w:r>
      <w:r>
        <w:rPr>
          <w:rFonts w:eastAsia="Times New Roman"/>
        </w:rPr>
        <w:t xml:space="preserve"> </w:t>
      </w:r>
      <w:r w:rsidR="00546261">
        <w:rPr>
          <w:rFonts w:eastAsia="Times New Roman"/>
        </w:rPr>
        <w:t>Perhaps, for some, this assumption lies behind</w:t>
      </w:r>
      <w:r>
        <w:rPr>
          <w:rFonts w:eastAsia="Times New Roman"/>
        </w:rPr>
        <w:t xml:space="preserve"> the reluctance to accept Arafat being Palestinian and the Palestinian Arabs being a national group.</w:t>
      </w:r>
    </w:p>
    <w:p w:rsidR="0080742A" w:rsidRDefault="00546261" w:rsidP="0080742A">
      <w:pPr>
        <w:spacing w:before="100" w:beforeAutospacing="1" w:after="100" w:afterAutospacing="1" w:line="240" w:lineRule="auto"/>
      </w:pPr>
      <w:r>
        <w:t xml:space="preserve">For this reason, much of the public debate gets </w:t>
      </w:r>
      <w:r w:rsidR="0080742A">
        <w:t>stuck on genealogy — birthplace, surnames, or claims of ‘</w:t>
      </w:r>
      <w:proofErr w:type="spellStart"/>
      <w:r w:rsidR="0080742A">
        <w:t>indigeneity</w:t>
      </w:r>
      <w:proofErr w:type="spellEnd"/>
      <w:r w:rsidR="0080742A">
        <w:t xml:space="preserve">’ — as if national identity were a matter of bloodlines. But modern peoples, including Jews (whose surnames often shifted under pressure), Americans (whose surnames overwhelmingly come from elsewhere), </w:t>
      </w:r>
      <w:proofErr w:type="spellStart"/>
      <w:r w:rsidR="0080742A">
        <w:t>Argentinians</w:t>
      </w:r>
      <w:proofErr w:type="spellEnd"/>
      <w:r w:rsidR="0080742A">
        <w:t xml:space="preserve"> (whose population is largely descended from Italian and Spanish immigrants), and Turks (whose surnames were legally assigned only in 1934), show that identity is not determined by ancestral purity.</w:t>
      </w:r>
    </w:p>
    <w:p w:rsidR="00052DCE" w:rsidRDefault="00001644" w:rsidP="00404F58">
      <w:pPr>
        <w:spacing w:before="100" w:beforeAutospacing="1" w:after="100" w:afterAutospacing="1" w:line="240" w:lineRule="auto"/>
      </w:pPr>
      <w:r>
        <w:t xml:space="preserve">Reader </w:t>
      </w:r>
      <w:hyperlink r:id="rId6" w:history="1">
        <w:r w:rsidRPr="00001644">
          <w:rPr>
            <w:rStyle w:val="Hyperlink"/>
          </w:rPr>
          <w:t>Zev Spitz</w:t>
        </w:r>
      </w:hyperlink>
      <w:r>
        <w:t xml:space="preserve"> </w:t>
      </w:r>
      <w:r w:rsidR="00404F58">
        <w:t>offered a helpful way of naming something familiar but often left implicit:</w:t>
      </w:r>
      <w:r>
        <w:t xml:space="preserve"> </w:t>
      </w:r>
      <w:r w:rsidR="00052DCE">
        <w:t xml:space="preserve">There are </w:t>
      </w:r>
      <w:r w:rsidR="002F4A35">
        <w:t>wider</w:t>
      </w:r>
      <w:r w:rsidR="00052DCE">
        <w:t xml:space="preserve"> identities, such as Arab or Muslim, and narrow</w:t>
      </w:r>
      <w:r w:rsidR="002F4A35">
        <w:t>er</w:t>
      </w:r>
      <w:r w:rsidR="00052DCE">
        <w:t xml:space="preserve"> ones, such as clan or tribe. </w:t>
      </w:r>
      <w:r w:rsidR="00404F58">
        <w:t xml:space="preserve">Extending that vocabulary, we can also speak of “middle identities:” the modern national identities that sit between broad civilizational categories and intimate kinship groups. </w:t>
      </w:r>
      <w:r w:rsidR="00052DCE">
        <w:t>Jordanians can be Arab, Muslim, and Jordanian at the same time. Egyptians can be Arab, Muslim, and Egyptian. So why should Palestinians be unable to be both Arab and Palestinian?</w:t>
      </w:r>
    </w:p>
    <w:p w:rsidR="00001644" w:rsidRDefault="00001644" w:rsidP="00052DCE">
      <w:pPr>
        <w:spacing w:before="100" w:beforeAutospacing="1" w:after="100" w:afterAutospacing="1" w:line="240" w:lineRule="auto"/>
      </w:pPr>
      <w:r>
        <w:t xml:space="preserve">Even granting Palestinian </w:t>
      </w:r>
      <w:proofErr w:type="spellStart"/>
      <w:r>
        <w:t>peoplehood</w:t>
      </w:r>
      <w:proofErr w:type="spellEnd"/>
      <w:r>
        <w:t xml:space="preserve">, statehood is a separate issue. </w:t>
      </w:r>
    </w:p>
    <w:p w:rsidR="005D4C95" w:rsidRPr="005D4C95" w:rsidRDefault="005D4C95" w:rsidP="00404F58">
      <w:pPr>
        <w:spacing w:before="100" w:beforeAutospacing="1" w:after="100" w:afterAutospacing="1" w:line="240" w:lineRule="auto"/>
        <w:rPr>
          <w:rFonts w:eastAsia="Times New Roman"/>
        </w:rPr>
      </w:pPr>
      <w:r>
        <w:rPr>
          <w:rFonts w:eastAsia="Times New Roman"/>
        </w:rPr>
        <w:t xml:space="preserve">While </w:t>
      </w:r>
      <w:proofErr w:type="spellStart"/>
      <w:r>
        <w:rPr>
          <w:rFonts w:eastAsia="Times New Roman"/>
        </w:rPr>
        <w:t>p</w:t>
      </w:r>
      <w:r w:rsidRPr="005D4C95">
        <w:rPr>
          <w:rFonts w:eastAsia="Times New Roman"/>
        </w:rPr>
        <w:t>eoplehood</w:t>
      </w:r>
      <w:proofErr w:type="spellEnd"/>
      <w:r w:rsidRPr="005D4C95">
        <w:rPr>
          <w:rFonts w:eastAsia="Times New Roman"/>
        </w:rPr>
        <w:t xml:space="preserve"> and statehood are related, they are not</w:t>
      </w:r>
      <w:r w:rsidR="00404F58">
        <w:rPr>
          <w:rFonts w:eastAsia="Times New Roman"/>
        </w:rPr>
        <w:t xml:space="preserve"> the same thing.</w:t>
      </w:r>
    </w:p>
    <w:p w:rsidR="00B941D0" w:rsidRDefault="00B941D0" w:rsidP="005D4C95">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5486400" cy="3606644"/>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5486400" cy="3606644"/>
                    </a:xfrm>
                    <a:prstGeom prst="rect">
                      <a:avLst/>
                    </a:prstGeom>
                    <a:noFill/>
                    <a:ln w="9525">
                      <a:noFill/>
                      <a:miter lim="800000"/>
                      <a:headEnd/>
                      <a:tailEnd/>
                    </a:ln>
                  </pic:spPr>
                </pic:pic>
              </a:graphicData>
            </a:graphic>
          </wp:inline>
        </w:drawing>
      </w:r>
    </w:p>
    <w:p w:rsidR="007352CE" w:rsidRPr="00B941D0" w:rsidRDefault="007352CE" w:rsidP="00B941D0">
      <w:pPr>
        <w:spacing w:before="100" w:beforeAutospacing="1" w:after="100" w:afterAutospacing="1" w:line="240" w:lineRule="auto"/>
        <w:rPr>
          <w:rFonts w:eastAsia="Times New Roman"/>
        </w:rPr>
      </w:pPr>
      <w:r>
        <w:t>Some peoples achieve states; others do not; and the reasons vary. The table below illustrates this diversity rather than implying direct analogy.</w:t>
      </w:r>
    </w:p>
    <w:p w:rsidR="005D4C95" w:rsidRDefault="007771EC" w:rsidP="005D4C95">
      <w:pPr>
        <w:spacing w:before="100" w:beforeAutospacing="1" w:after="100" w:afterAutospacing="1" w:line="240" w:lineRule="auto"/>
        <w:outlineLvl w:val="1"/>
        <w:rPr>
          <w:rFonts w:eastAsia="Times New Roman"/>
          <w:b/>
          <w:bCs/>
        </w:rPr>
      </w:pPr>
      <w:r>
        <w:rPr>
          <w:rFonts w:eastAsia="Times New Roman"/>
          <w:b/>
          <w:bCs/>
          <w:noProof/>
        </w:rPr>
        <w:drawing>
          <wp:inline distT="0" distB="0" distL="0" distR="0">
            <wp:extent cx="5370634" cy="2956312"/>
            <wp:effectExtent l="19050" t="0" r="1466"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374427" cy="2958400"/>
                    </a:xfrm>
                    <a:prstGeom prst="rect">
                      <a:avLst/>
                    </a:prstGeom>
                    <a:noFill/>
                  </pic:spPr>
                </pic:pic>
              </a:graphicData>
            </a:graphic>
          </wp:inline>
        </w:drawing>
      </w:r>
    </w:p>
    <w:p w:rsidR="005D4C95" w:rsidRPr="005D4C95" w:rsidRDefault="005D4C95" w:rsidP="005D4C95">
      <w:pPr>
        <w:spacing w:after="0" w:line="240" w:lineRule="auto"/>
        <w:rPr>
          <w:rFonts w:eastAsia="Times New Roman"/>
          <w:vanish/>
        </w:rPr>
      </w:pPr>
    </w:p>
    <w:tbl>
      <w:tblPr>
        <w:tblW w:w="0" w:type="auto"/>
        <w:tblCellSpacing w:w="15" w:type="dxa"/>
        <w:tblCellMar>
          <w:top w:w="15" w:type="dxa"/>
          <w:left w:w="15" w:type="dxa"/>
          <w:bottom w:w="15" w:type="dxa"/>
          <w:right w:w="15" w:type="dxa"/>
        </w:tblCellMar>
        <w:tblLook w:val="04A0"/>
      </w:tblPr>
      <w:tblGrid>
        <w:gridCol w:w="81"/>
        <w:gridCol w:w="66"/>
        <w:gridCol w:w="66"/>
        <w:gridCol w:w="66"/>
        <w:gridCol w:w="66"/>
        <w:gridCol w:w="81"/>
      </w:tblGrid>
      <w:tr w:rsidR="005D4C95" w:rsidRPr="005D4C95" w:rsidTr="005D4C95">
        <w:trPr>
          <w:tblCellSpacing w:w="15" w:type="dxa"/>
        </w:trPr>
        <w:tc>
          <w:tcPr>
            <w:tcW w:w="0" w:type="auto"/>
            <w:vAlign w:val="center"/>
            <w:hideMark/>
          </w:tcPr>
          <w:p w:rsidR="005D4C95" w:rsidRPr="005D4C95" w:rsidRDefault="005D4C95" w:rsidP="005D4C95">
            <w:pPr>
              <w:spacing w:after="0" w:line="240" w:lineRule="auto"/>
              <w:rPr>
                <w:rFonts w:eastAsia="Times New Roman"/>
              </w:rPr>
            </w:pPr>
          </w:p>
        </w:tc>
        <w:tc>
          <w:tcPr>
            <w:tcW w:w="0" w:type="auto"/>
            <w:vAlign w:val="center"/>
            <w:hideMark/>
          </w:tcPr>
          <w:p w:rsidR="005D4C95" w:rsidRPr="005D4C95" w:rsidRDefault="005D4C95" w:rsidP="005D4C95">
            <w:pPr>
              <w:spacing w:after="0" w:line="240" w:lineRule="auto"/>
              <w:rPr>
                <w:rFonts w:eastAsia="Times New Roman"/>
              </w:rPr>
            </w:pPr>
          </w:p>
        </w:tc>
        <w:tc>
          <w:tcPr>
            <w:tcW w:w="0" w:type="auto"/>
            <w:vAlign w:val="center"/>
            <w:hideMark/>
          </w:tcPr>
          <w:p w:rsidR="005D4C95" w:rsidRPr="005D4C95" w:rsidRDefault="005D4C95" w:rsidP="005D4C95">
            <w:pPr>
              <w:spacing w:after="0" w:line="240" w:lineRule="auto"/>
              <w:rPr>
                <w:rFonts w:eastAsia="Times New Roman"/>
              </w:rPr>
            </w:pPr>
          </w:p>
        </w:tc>
        <w:tc>
          <w:tcPr>
            <w:tcW w:w="0" w:type="auto"/>
            <w:vAlign w:val="center"/>
            <w:hideMark/>
          </w:tcPr>
          <w:p w:rsidR="005D4C95" w:rsidRPr="005D4C95" w:rsidRDefault="005D4C95" w:rsidP="005D4C95">
            <w:pPr>
              <w:spacing w:after="0" w:line="240" w:lineRule="auto"/>
              <w:rPr>
                <w:rFonts w:eastAsia="Times New Roman"/>
              </w:rPr>
            </w:pPr>
          </w:p>
        </w:tc>
        <w:tc>
          <w:tcPr>
            <w:tcW w:w="0" w:type="auto"/>
            <w:vAlign w:val="center"/>
            <w:hideMark/>
          </w:tcPr>
          <w:p w:rsidR="005D4C95" w:rsidRPr="005D4C95" w:rsidRDefault="005D4C95" w:rsidP="005D4C95">
            <w:pPr>
              <w:spacing w:after="0" w:line="240" w:lineRule="auto"/>
              <w:rPr>
                <w:rFonts w:eastAsia="Times New Roman"/>
              </w:rPr>
            </w:pPr>
          </w:p>
        </w:tc>
        <w:tc>
          <w:tcPr>
            <w:tcW w:w="0" w:type="auto"/>
            <w:vAlign w:val="center"/>
            <w:hideMark/>
          </w:tcPr>
          <w:p w:rsidR="005D4C95" w:rsidRPr="005D4C95" w:rsidRDefault="005D4C95" w:rsidP="005D4C95">
            <w:pPr>
              <w:spacing w:after="0" w:line="240" w:lineRule="auto"/>
              <w:rPr>
                <w:rFonts w:eastAsia="Times New Roman"/>
              </w:rPr>
            </w:pPr>
          </w:p>
        </w:tc>
      </w:tr>
    </w:tbl>
    <w:p w:rsidR="00546261" w:rsidRDefault="005D4C95" w:rsidP="005D4C95">
      <w:pPr>
        <w:spacing w:before="100" w:beforeAutospacing="1" w:after="100" w:afterAutospacing="1" w:line="240" w:lineRule="auto"/>
        <w:rPr>
          <w:rFonts w:eastAsia="Times New Roman"/>
        </w:rPr>
      </w:pPr>
      <w:r w:rsidRPr="005D4C95">
        <w:rPr>
          <w:rFonts w:eastAsia="Times New Roman"/>
        </w:rPr>
        <w:t xml:space="preserve">Nor are these the only examples. Scots, Welsh, Corsicans, </w:t>
      </w:r>
      <w:proofErr w:type="spellStart"/>
      <w:r w:rsidRPr="005D4C95">
        <w:rPr>
          <w:rFonts w:eastAsia="Times New Roman"/>
        </w:rPr>
        <w:t>Baloch</w:t>
      </w:r>
      <w:proofErr w:type="spellEnd"/>
      <w:r w:rsidRPr="005D4C95">
        <w:rPr>
          <w:rFonts w:eastAsia="Times New Roman"/>
        </w:rPr>
        <w:t xml:space="preserve">, Chechens, Tamils, Sikhs, </w:t>
      </w:r>
      <w:proofErr w:type="spellStart"/>
      <w:r w:rsidRPr="005D4C95">
        <w:rPr>
          <w:rFonts w:eastAsia="Times New Roman"/>
        </w:rPr>
        <w:t>Kashmiris</w:t>
      </w:r>
      <w:proofErr w:type="spellEnd"/>
      <w:r w:rsidRPr="005D4C95">
        <w:rPr>
          <w:rFonts w:eastAsia="Times New Roman"/>
        </w:rPr>
        <w:t xml:space="preserve"> and many others have maintained distinct identities without achieving sovereign statehood.</w:t>
      </w:r>
      <w:r w:rsidR="00546261">
        <w:rPr>
          <w:rFonts w:eastAsia="Times New Roman"/>
        </w:rPr>
        <w:t xml:space="preserve"> </w:t>
      </w:r>
    </w:p>
    <w:p w:rsidR="00546261" w:rsidRDefault="00546261" w:rsidP="00546261">
      <w:pPr>
        <w:spacing w:before="100" w:beforeAutospacing="1" w:after="100" w:afterAutospacing="1" w:line="240" w:lineRule="auto"/>
      </w:pPr>
      <w:r>
        <w:lastRenderedPageBreak/>
        <w:t xml:space="preserve">These cases are not direct analogies to the Palestinian situation; they simply illustrate that </w:t>
      </w:r>
      <w:proofErr w:type="spellStart"/>
      <w:r>
        <w:t>peoplehood</w:t>
      </w:r>
      <w:proofErr w:type="spellEnd"/>
      <w:r>
        <w:t xml:space="preserve"> and statehood do not always align. In other words, statehood, historically, has depended on a mix of political, territorial, and international factors and not merely the existence of a distinct people.</w:t>
      </w:r>
    </w:p>
    <w:p w:rsidR="00153F94" w:rsidRDefault="00153F94" w:rsidP="00B86889">
      <w:pPr>
        <w:pStyle w:val="NormalWeb"/>
      </w:pPr>
      <w:r>
        <w:t xml:space="preserve">The existence of a people may explain why </w:t>
      </w:r>
      <w:r w:rsidR="00001644">
        <w:t>the aspiration</w:t>
      </w:r>
      <w:r w:rsidR="00B86889">
        <w:t>s</w:t>
      </w:r>
      <w:r w:rsidR="00001644">
        <w:t xml:space="preserve"> for self-determination emerge</w:t>
      </w:r>
      <w:r>
        <w:t>; it determines neither if</w:t>
      </w:r>
      <w:r w:rsidR="00001644">
        <w:t>,</w:t>
      </w:r>
      <w:r>
        <w:t xml:space="preserve"> nor how</w:t>
      </w:r>
      <w:r w:rsidR="00001644">
        <w:t>,</w:t>
      </w:r>
      <w:r>
        <w:t xml:space="preserve"> th</w:t>
      </w:r>
      <w:r w:rsidR="00B86889">
        <w:t>ose</w:t>
      </w:r>
      <w:r>
        <w:t xml:space="preserve"> aspiration</w:t>
      </w:r>
      <w:r w:rsidR="00B86889">
        <w:t>s</w:t>
      </w:r>
      <w:r>
        <w:t xml:space="preserve"> must be realised.</w:t>
      </w:r>
    </w:p>
    <w:p w:rsidR="005D4C95" w:rsidRPr="005D4C95" w:rsidRDefault="005D4C95" w:rsidP="005D4C95">
      <w:pPr>
        <w:spacing w:before="100" w:beforeAutospacing="1" w:after="100" w:afterAutospacing="1" w:line="240" w:lineRule="auto"/>
        <w:outlineLvl w:val="1"/>
        <w:rPr>
          <w:rFonts w:eastAsia="Times New Roman"/>
          <w:b/>
          <w:bCs/>
        </w:rPr>
      </w:pPr>
      <w:r w:rsidRPr="005D4C95">
        <w:rPr>
          <w:rFonts w:eastAsia="Times New Roman"/>
          <w:b/>
          <w:bCs/>
        </w:rPr>
        <w:t>Why This Matters</w:t>
      </w:r>
    </w:p>
    <w:p w:rsidR="005D4C95" w:rsidRPr="005D4C95" w:rsidRDefault="005D4C95" w:rsidP="005D4C95">
      <w:pPr>
        <w:spacing w:before="100" w:beforeAutospacing="1" w:after="100" w:afterAutospacing="1" w:line="240" w:lineRule="auto"/>
        <w:rPr>
          <w:rFonts w:eastAsia="Times New Roman"/>
        </w:rPr>
      </w:pPr>
      <w:r w:rsidRPr="005D4C95">
        <w:rPr>
          <w:rFonts w:eastAsia="Times New Roman"/>
        </w:rPr>
        <w:t>The Israeli-Palestinian debate often collapses multiple questions into one.</w:t>
      </w:r>
    </w:p>
    <w:p w:rsidR="005D4C95" w:rsidRPr="005D4C95" w:rsidRDefault="005D4C95" w:rsidP="005D4C95">
      <w:pPr>
        <w:spacing w:before="100" w:beforeAutospacing="1" w:after="100" w:afterAutospacing="1" w:line="240" w:lineRule="auto"/>
        <w:rPr>
          <w:rFonts w:eastAsia="Times New Roman"/>
        </w:rPr>
      </w:pPr>
      <w:r w:rsidRPr="005D4C95">
        <w:rPr>
          <w:rFonts w:eastAsia="Times New Roman"/>
        </w:rPr>
        <w:t>One side argues:</w:t>
      </w:r>
    </w:p>
    <w:p w:rsidR="005D4C95" w:rsidRPr="005D4C95" w:rsidRDefault="005D4C95" w:rsidP="00B941D0">
      <w:pPr>
        <w:spacing w:before="100" w:beforeAutospacing="1" w:after="100" w:afterAutospacing="1" w:line="240" w:lineRule="auto"/>
        <w:ind w:left="720"/>
        <w:rPr>
          <w:rFonts w:eastAsia="Times New Roman"/>
        </w:rPr>
      </w:pPr>
      <w:r w:rsidRPr="005D4C95">
        <w:rPr>
          <w:rFonts w:eastAsia="Times New Roman"/>
        </w:rPr>
        <w:t xml:space="preserve">"There </w:t>
      </w:r>
      <w:proofErr w:type="gramStart"/>
      <w:r w:rsidRPr="005D4C95">
        <w:rPr>
          <w:rFonts w:eastAsia="Times New Roman"/>
        </w:rPr>
        <w:t>is no Palestinian people</w:t>
      </w:r>
      <w:proofErr w:type="gramEnd"/>
      <w:r w:rsidR="00B941D0">
        <w:rPr>
          <w:rFonts w:eastAsia="Times New Roman"/>
        </w:rPr>
        <w:t>; therefore there is no need to talk about a Palestinian state</w:t>
      </w:r>
      <w:r w:rsidRPr="005D4C95">
        <w:rPr>
          <w:rFonts w:eastAsia="Times New Roman"/>
        </w:rPr>
        <w:t>"</w:t>
      </w:r>
    </w:p>
    <w:p w:rsidR="005D4C95" w:rsidRPr="005D4C95" w:rsidRDefault="005D4C95" w:rsidP="005D4C95">
      <w:pPr>
        <w:spacing w:before="100" w:beforeAutospacing="1" w:after="100" w:afterAutospacing="1" w:line="240" w:lineRule="auto"/>
        <w:rPr>
          <w:rFonts w:eastAsia="Times New Roman"/>
        </w:rPr>
      </w:pPr>
      <w:r w:rsidRPr="005D4C95">
        <w:rPr>
          <w:rFonts w:eastAsia="Times New Roman"/>
        </w:rPr>
        <w:t>The other argues:</w:t>
      </w:r>
    </w:p>
    <w:p w:rsidR="005D4C95" w:rsidRPr="005D4C95" w:rsidRDefault="005D4C95" w:rsidP="005D4C95">
      <w:pPr>
        <w:spacing w:before="100" w:beforeAutospacing="1" w:after="100" w:afterAutospacing="1" w:line="240" w:lineRule="auto"/>
        <w:ind w:firstLine="720"/>
        <w:rPr>
          <w:rFonts w:eastAsia="Times New Roman"/>
        </w:rPr>
      </w:pPr>
      <w:r w:rsidRPr="005D4C95">
        <w:rPr>
          <w:rFonts w:eastAsia="Times New Roman"/>
        </w:rPr>
        <w:t xml:space="preserve">"There </w:t>
      </w:r>
      <w:proofErr w:type="gramStart"/>
      <w:r w:rsidRPr="005D4C95">
        <w:rPr>
          <w:rFonts w:eastAsia="Times New Roman"/>
        </w:rPr>
        <w:t>is a Palestinian people</w:t>
      </w:r>
      <w:proofErr w:type="gramEnd"/>
      <w:r w:rsidRPr="005D4C95">
        <w:rPr>
          <w:rFonts w:eastAsia="Times New Roman"/>
        </w:rPr>
        <w:t>, therefore there must be a Palestinian state."</w:t>
      </w:r>
    </w:p>
    <w:p w:rsidR="00777C2B" w:rsidRPr="00DD16F6" w:rsidRDefault="005D4C95" w:rsidP="00DD16F6">
      <w:pPr>
        <w:spacing w:before="100" w:beforeAutospacing="1" w:after="100" w:afterAutospacing="1" w:line="240" w:lineRule="auto"/>
        <w:rPr>
          <w:rFonts w:eastAsia="Times New Roman"/>
        </w:rPr>
      </w:pPr>
      <w:r>
        <w:rPr>
          <w:rFonts w:eastAsia="Times New Roman"/>
        </w:rPr>
        <w:t xml:space="preserve">But </w:t>
      </w:r>
      <w:r w:rsidRPr="005D4C95">
        <w:rPr>
          <w:rFonts w:eastAsia="Times New Roman"/>
        </w:rPr>
        <w:t xml:space="preserve">if we want to have a serious discussion about the future, it helps to </w:t>
      </w:r>
      <w:r>
        <w:rPr>
          <w:rFonts w:eastAsia="Times New Roman"/>
        </w:rPr>
        <w:t>keep the issues separate. We can acknowledge that today, for whatever reason and by whatever process of evolution, there are millions of people who identify as Palestinians. That does not lock into inevitability a sovereign state.</w:t>
      </w:r>
    </w:p>
    <w:sectPr w:rsidR="00777C2B" w:rsidRPr="00DD16F6" w:rsidSect="00777C2B">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95B88"/>
    <w:multiLevelType w:val="hybridMultilevel"/>
    <w:tmpl w:val="890613FA"/>
    <w:lvl w:ilvl="0" w:tplc="BBB499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291966"/>
    <w:multiLevelType w:val="multilevel"/>
    <w:tmpl w:val="2678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300B39"/>
    <w:multiLevelType w:val="multilevel"/>
    <w:tmpl w:val="962E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D4C95"/>
    <w:rsid w:val="00001644"/>
    <w:rsid w:val="00042CD0"/>
    <w:rsid w:val="00052DCE"/>
    <w:rsid w:val="00153F94"/>
    <w:rsid w:val="002F4A35"/>
    <w:rsid w:val="00352A18"/>
    <w:rsid w:val="00404F58"/>
    <w:rsid w:val="00546261"/>
    <w:rsid w:val="005D4C95"/>
    <w:rsid w:val="007352CE"/>
    <w:rsid w:val="007771EC"/>
    <w:rsid w:val="00777C2B"/>
    <w:rsid w:val="007C19B1"/>
    <w:rsid w:val="0080742A"/>
    <w:rsid w:val="008427BE"/>
    <w:rsid w:val="00B86889"/>
    <w:rsid w:val="00B941D0"/>
    <w:rsid w:val="00BC5210"/>
    <w:rsid w:val="00D84E22"/>
    <w:rsid w:val="00DD16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C2B"/>
  </w:style>
  <w:style w:type="paragraph" w:styleId="Heading1">
    <w:name w:val="heading 1"/>
    <w:basedOn w:val="Normal"/>
    <w:link w:val="Heading1Char"/>
    <w:uiPriority w:val="9"/>
    <w:qFormat/>
    <w:rsid w:val="005D4C95"/>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link w:val="Heading2Char"/>
    <w:uiPriority w:val="9"/>
    <w:qFormat/>
    <w:rsid w:val="005D4C95"/>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C95"/>
    <w:rPr>
      <w:rFonts w:eastAsia="Times New Roman"/>
      <w:b/>
      <w:bCs/>
      <w:kern w:val="36"/>
      <w:sz w:val="48"/>
      <w:szCs w:val="48"/>
    </w:rPr>
  </w:style>
  <w:style w:type="character" w:customStyle="1" w:styleId="Heading2Char">
    <w:name w:val="Heading 2 Char"/>
    <w:basedOn w:val="DefaultParagraphFont"/>
    <w:link w:val="Heading2"/>
    <w:uiPriority w:val="9"/>
    <w:rsid w:val="005D4C95"/>
    <w:rPr>
      <w:rFonts w:eastAsia="Times New Roman"/>
      <w:b/>
      <w:bCs/>
      <w:sz w:val="36"/>
      <w:szCs w:val="36"/>
    </w:rPr>
  </w:style>
  <w:style w:type="paragraph" w:styleId="NormalWeb">
    <w:name w:val="Normal (Web)"/>
    <w:basedOn w:val="Normal"/>
    <w:uiPriority w:val="99"/>
    <w:semiHidden/>
    <w:unhideWhenUsed/>
    <w:rsid w:val="005D4C95"/>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5D4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C95"/>
    <w:rPr>
      <w:rFonts w:ascii="Tahoma" w:hAnsi="Tahoma" w:cs="Tahoma"/>
      <w:sz w:val="16"/>
      <w:szCs w:val="16"/>
    </w:rPr>
  </w:style>
  <w:style w:type="paragraph" w:styleId="ListParagraph">
    <w:name w:val="List Paragraph"/>
    <w:basedOn w:val="Normal"/>
    <w:uiPriority w:val="34"/>
    <w:qFormat/>
    <w:rsid w:val="005D4C95"/>
    <w:pPr>
      <w:ind w:left="720"/>
      <w:contextualSpacing/>
    </w:pPr>
  </w:style>
  <w:style w:type="character" w:styleId="Hyperlink">
    <w:name w:val="Hyperlink"/>
    <w:basedOn w:val="DefaultParagraphFont"/>
    <w:uiPriority w:val="99"/>
    <w:unhideWhenUsed/>
    <w:rsid w:val="005D4C95"/>
    <w:rPr>
      <w:color w:val="0000FF" w:themeColor="hyperlink"/>
      <w:u w:val="single"/>
    </w:rPr>
  </w:style>
  <w:style w:type="character" w:styleId="Emphasis">
    <w:name w:val="Emphasis"/>
    <w:basedOn w:val="DefaultParagraphFont"/>
    <w:uiPriority w:val="20"/>
    <w:qFormat/>
    <w:rsid w:val="00546261"/>
    <w:rPr>
      <w:i/>
      <w:iCs/>
    </w:rPr>
  </w:style>
</w:styles>
</file>

<file path=word/webSettings.xml><?xml version="1.0" encoding="utf-8"?>
<w:webSettings xmlns:r="http://schemas.openxmlformats.org/officeDocument/2006/relationships" xmlns:w="http://schemas.openxmlformats.org/wordprocessingml/2006/main">
  <w:divs>
    <w:div w:id="302276776">
      <w:bodyDiv w:val="1"/>
      <w:marLeft w:val="0"/>
      <w:marRight w:val="0"/>
      <w:marTop w:val="0"/>
      <w:marBottom w:val="0"/>
      <w:divBdr>
        <w:top w:val="none" w:sz="0" w:space="0" w:color="auto"/>
        <w:left w:val="none" w:sz="0" w:space="0" w:color="auto"/>
        <w:bottom w:val="none" w:sz="0" w:space="0" w:color="auto"/>
        <w:right w:val="none" w:sz="0" w:space="0" w:color="auto"/>
      </w:divBdr>
    </w:div>
    <w:div w:id="503742200">
      <w:bodyDiv w:val="1"/>
      <w:marLeft w:val="0"/>
      <w:marRight w:val="0"/>
      <w:marTop w:val="0"/>
      <w:marBottom w:val="0"/>
      <w:divBdr>
        <w:top w:val="none" w:sz="0" w:space="0" w:color="auto"/>
        <w:left w:val="none" w:sz="0" w:space="0" w:color="auto"/>
        <w:bottom w:val="none" w:sz="0" w:space="0" w:color="auto"/>
        <w:right w:val="none" w:sz="0" w:space="0" w:color="auto"/>
      </w:divBdr>
    </w:div>
    <w:div w:id="726876416">
      <w:bodyDiv w:val="1"/>
      <w:marLeft w:val="0"/>
      <w:marRight w:val="0"/>
      <w:marTop w:val="0"/>
      <w:marBottom w:val="0"/>
      <w:divBdr>
        <w:top w:val="none" w:sz="0" w:space="0" w:color="auto"/>
        <w:left w:val="none" w:sz="0" w:space="0" w:color="auto"/>
        <w:bottom w:val="none" w:sz="0" w:space="0" w:color="auto"/>
        <w:right w:val="none" w:sz="0" w:space="0" w:color="auto"/>
      </w:divBdr>
    </w:div>
    <w:div w:id="741486168">
      <w:bodyDiv w:val="1"/>
      <w:marLeft w:val="0"/>
      <w:marRight w:val="0"/>
      <w:marTop w:val="0"/>
      <w:marBottom w:val="0"/>
      <w:divBdr>
        <w:top w:val="none" w:sz="0" w:space="0" w:color="auto"/>
        <w:left w:val="none" w:sz="0" w:space="0" w:color="auto"/>
        <w:bottom w:val="none" w:sz="0" w:space="0" w:color="auto"/>
        <w:right w:val="none" w:sz="0" w:space="0" w:color="auto"/>
      </w:divBdr>
    </w:div>
    <w:div w:id="1179275051">
      <w:bodyDiv w:val="1"/>
      <w:marLeft w:val="0"/>
      <w:marRight w:val="0"/>
      <w:marTop w:val="0"/>
      <w:marBottom w:val="0"/>
      <w:divBdr>
        <w:top w:val="none" w:sz="0" w:space="0" w:color="auto"/>
        <w:left w:val="none" w:sz="0" w:space="0" w:color="auto"/>
        <w:bottom w:val="none" w:sz="0" w:space="0" w:color="auto"/>
        <w:right w:val="none" w:sz="0" w:space="0" w:color="auto"/>
      </w:divBdr>
    </w:div>
    <w:div w:id="127201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bstack.com/@shivisi" TargetMode="External"/><Relationship Id="rId5" Type="http://schemas.openxmlformats.org/officeDocument/2006/relationships/hyperlink" Target="https://ozsheri.substack.com/p/the-golda-meir-tes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1512</TotalTime>
  <Pages>3</Pages>
  <Words>538</Words>
  <Characters>3073</Characters>
  <Application>Microsoft Office Word</Application>
  <DocSecurity>0</DocSecurity>
  <Lines>25</Lines>
  <Paragraphs>7</Paragraphs>
  <ScaleCrop>false</ScaleCrop>
  <Company>DreamLair</Company>
  <LinksUpToDate>false</LinksUpToDate>
  <CharactersWithSpaces>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dc:creator>
  <cp:lastModifiedBy>sheri</cp:lastModifiedBy>
  <cp:revision>11</cp:revision>
  <dcterms:created xsi:type="dcterms:W3CDTF">2026-06-14T04:55:00Z</dcterms:created>
  <dcterms:modified xsi:type="dcterms:W3CDTF">2026-06-15T06:01:00Z</dcterms:modified>
</cp:coreProperties>
</file>